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19 174 vom 23. März 2022</w:t>
      </w:r>
    </w:p>
    <w:p>
      <w:r>
        <w:t>VS Kantonsgericht, 2022-03-23, FR</w:t>
      </w:r>
    </w:p>
    <w:p>
      <w:r>
        <w:rPr>
          <w:b/>
        </w:rPr>
        <w:t xml:space="preserve">Quelle: </w:t>
      </w:r>
      <w:r>
        <w:t>https://mcp.opencaselaw.ch/entscheid/vs_gerichte_S1 19 174</w:t>
      </w:r>
    </w:p>
    <w:p>
      <w:r>
        <w:t>FR: VS_GERICHTE S1 19 174 du 23 mars 2022</w:t>
      </w:r>
    </w:p>
    <w:p>
      <w:r>
        <w:t>IT: VS_GERICHTE S1 19 174 del 23 marzo 2022</w:t>
      </w:r>
    </w:p>
    <w:p>
      <w:pPr>
        <w:pStyle w:val="Heading2"/>
      </w:pPr>
      <w:r>
        <w:t>Regeste</w:t>
      </w:r>
    </w:p>
    <w:p>
      <w:r>
        <w:t>S1 19 174 JUGEMENT DU 23 MARS 2022 Tribunal cantonal du Valais Cour des assurances sociales Composition : Candido Prada, président ; Jean-Bernard Fournier et Christophe Joris, juges ; Simon Hausammann, greffier en la cause Hoirs de feu X _________, recourante, à savoir Y _________ et Z _________, contre OFFICE CANTONAL AI DU VALAIS, intimé (refus prestations AI ; valeur probante de l’avis du SMR)</w:t>
      </w:r>
    </w:p>
    <w:p>
      <w:pPr>
        <w:pStyle w:val="Heading2"/>
      </w:pPr>
      <w:r>
        <w:t>Erwägungen</w:t>
      </w:r>
    </w:p>
    <w:p>
      <w:r>
        <w:rPr>
          <w:b/>
        </w:rPr>
        <w:t>E. 2</w:t>
      </w:r>
    </w:p>
    <w:p>
      <w:r>
        <w:t>Le litige porte sur le droit de la recourante à des prestations AI, plus exactement à une rente et/ou à des mesures d’ordre professionnel, ainsi que sur la valeur probante des pièces médicales au dossier.</w:t>
      </w:r>
    </w:p>
    <w:p>
      <w:r>
        <w:rPr>
          <w:b/>
        </w:rPr>
        <w:t>E. 2.1</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est invalide à 40% au moins (art. 28 al. 1 let. b et c LAI). Il peut en outre prétendre à une mesure de reclassement s’il est invalide à 20% environ (ATF 139 V 399 consid. 5.3 ; 130 V 488 consid. 4.2 et 124 V 108 consid. 2b). L'invalidité est une notion économique et non médicale. Les critères médico-théoriques ne sont pas déterminants, mais les répercussions de l'atteinte à la santé sur la capacité de gain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w:t>
      </w:r>
    </w:p>
    <w:p>
      <w:r>
        <w:t>- 8 -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Tribunal fédéral n'exclut cependant pas que l'assurance-invalidité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et C-6371/2011 du 21 août 2013).</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w:t>
      </w:r>
    </w:p>
    <w:p>
      <w:r>
        <w:t>- 9 -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résulte de la question de savoir si celle qui se trouve déjà au dossier remplit les exigences de forme et de fond posées pour la valeur probante d’une expertise médicale (arrêt U 571/06 du 29 mai 2007 consid. 4.2 et les références).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8C_796/2016 précité consid. 3.3). Enfin, les rapports et expertises de médecins internes à l'assurance ont également une valeur probante pour autant qu'ils apparaissent concluants, sont motivés de manière compréhensible, ne sont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w:t>
      </w:r>
    </w:p>
    <w:p>
      <w:r>
        <w:t>- 10 - (ATF 125 V 351 consid. 3/ee et 122 V 161 s. consid. 1c). Les rapports des médecins employés de l'assurance sont à prendre en considération tant qu'il n'existe aucun doute, même minime, sur l'exactitude de leurs conclusions (ATF 135 V 465 consid. 4.7).</w:t>
      </w:r>
    </w:p>
    <w:p>
      <w:r>
        <w:rPr>
          <w:b/>
        </w:rPr>
        <w:t>E. 3</w:t>
      </w:r>
    </w:p>
    <w:p>
      <w:r>
        <w:t>Dans le cas d’espèce, la recourante a estimé qu’en raison de ses nombreux problèmes de santé, elle n’était plus en mesure de travailler à un taux d’activité de 100%. Dans son opposition du 26 mars 2018, elle avait en outre fermement contesté l’avis du SMR qui lui avait reconnu une pleine capacité de travail sans l’avoir examinée.</w:t>
      </w:r>
    </w:p>
    <w:p>
      <w:r>
        <w:rPr>
          <w:b/>
        </w:rPr>
        <w:t>E. 3.1</w:t>
      </w:r>
    </w:p>
    <w:p>
      <w:r>
        <w:t>En rendant la décision contestée, l’OAI s’est exclusivement fondé sur l’avis du SMR pour retenir que la recourante avait recouvré une pleine capacité de travail le 1er août 2018. Les documents établis les 26 février 2019 et 28 juin suivant par la Dresse C _________, médecin SMR certifié, constituent des rapports au sens de l’article 59 alinéa 2bis aLAI (en corrélation avec l’art. 49 al. 1 RAI), dans la mesure où ils ne reposent pas sur des observations cliniques auxquelles elle aurait procédé, mais sur une appréciation fondée exclusivement sur une analyse des documents médicaux versés au dossier. Dans cette mesure, ils se distinguent d’une expertise mais on ne saurait toutefois d’emblée leur dénier toute valeur probante. Il convient plutôt d’examiner objectivement tous les documents à disposition afin de pouvoir décider s’ils permettent de porter un jugement valable (cf. arrêts 9C_542/2011 précité consid. 4.1 et I 143/07 du 14 septembre 2007 consid. 3.3).</w:t>
      </w:r>
    </w:p>
    <w:p>
      <w:r>
        <w:rPr>
          <w:b/>
        </w:rPr>
        <w:t>E. 3.1.1</w:t>
      </w:r>
    </w:p>
    <w:p>
      <w:r>
        <w:t>Dans son premier rapport final du 26 février 2019, le SMR a principalement relevé l’avis du Dr B _________ qui avait attesté une évolution favorable sur le plan cardiaque rendant possible une reprise du travail à plein temps à partir du 1er août 2018. Le SMR en a conclu qu’une pleine capacité de travail devait être retenue dans une activité sans port de charges, en précisant que l’activité habituelle respectait cette limitation. Le médecin du SMR a ensuite indiqué que l’encéphalopathie hépatique survenue le 6 avril 2018 pendant l’hospitalisation, justifiait une prise en charge spécialisée. Il a en outre argué que l’éthylisme chronique était primaire et non incapacitant. Dans son second rapport final du 28 juin 2019, le SMR a laconiquement indiqué que les nouveaux éléments fournis par la recourante n’étaient pas de nature à modifier ses conclusions.</w:t>
      </w:r>
    </w:p>
    <w:p>
      <w:r>
        <w:rPr>
          <w:b/>
        </w:rPr>
        <w:t>E. 3.1.2</w:t>
      </w:r>
    </w:p>
    <w:p>
      <w:r>
        <w:t>L’avis des médecins traitants est cependant autre. Les Dr A _________ et F _________ retiennent en effet une capacité de travail de leur patiente de 50% au maximum, celle-ci ayant présenté successivement une multitude de troubles, qui, selon les termes employés par les spécialistes de l’Hôpital du Valais, présentait</w:t>
      </w:r>
    </w:p>
    <w:p>
      <w:r>
        <w:t>- 11 - « un état général extrêmement altéré » nécessitant notamment une prise en charge nutritionnelle très agressive (pièce OAI 23, p. 62). Une évolution cardiaque favorable n’aurait en l’état pas dû suffire au SMR pour retenir une pleine capacité de travail, au vu de l’ensemble des diagnostics présentés par la recourante et des nombreuses difficultés qui se sont successivement enchaînées après l’opération d’avril 2018, soit : la dépendance à l’alcoolisme (primaire) ; la cirrhose avec un score CHILD B ; l’encéphalopathie hépatique entraînée par la cirrhose diagnostiquée à la recourante après son opération, dont le SMR avait pourtant reconnu la justification d’une prise en charge spécialisée ; la seconde hospitalisation de la recourante en raison d’une lipothymie orthostatique seulement quelques mois après la première intervention (celle-ci ayant déjà été sujette à des malaises en juillet 2017 lui ayant occasionné deux arrêts de travail de plusieurs jours) ; l’hypotension et la perte de poids observées par le Dr A _________ dans son rapport du 10 février 2019, sur lesquelles le SMR ne s’est pas précisément prononcé et qui a simplement considéré que la lipothymie orthostatique n’était pas invalidante sans fournir d’explications ; les signes clairs de sevrage alcoolique nécessitant un traitement soutenu et la perturbation importante des tests hépatiques (effondrement du facteur V) observée par la Dresse D _________ ; et encore la nouvelle hospitalisation durant le mois de septembre 2019, postérieure à la décision entreprise, dans le but était d’effectuer un sevrage d’alcool et un bilan d’une très probable cirrhose.</w:t>
      </w:r>
    </w:p>
    <w:p>
      <w:r>
        <w:rPr>
          <w:b/>
        </w:rPr>
        <w:t>E. 3.1.3</w:t>
      </w:r>
    </w:p>
    <w:p>
      <w:r>
        <w:t>Confronté à ces nombreux troubles, l’intimé aurait dû ordonner des investigations médicales complémentaires afin de précisément définir la portée invalidante de ceux-ci. Si en effet certains des diagnostics retenus par les médecins traitant ne relevaient pas de pathologies sévères, justifiant à eux seuls une incapacité de travail, aucun élément au dossier ne permet de confirmer explicitement que l’ensemble des troubles n’entraînait pas une telle incapacité de travail (arrêt 9C_542/2011 du 26 juin 2012 consid. 4.2). Or, les deux médecins traitants ont successivement affirmé que seule une capacité de travail résiduelle de 50% demeurait exigible. Cela étant, il ne peut pas être exclu que la dépendance à l’alcool ait été incapacitante pour la recourante, une telle affection devant désormais faire l’objet d’une évaluation normative et structurée selon l’ATF 141 V 281 (selon l’arrêt 9C_724/2018 du 11 juillet 2019 publié à l’ATF 145 V 215, antérieure à la décision litigieuse), ce que l’intimé n’a cependant pas ordonné. Un alcoolisme qui provoque des atteintes à la santé peut ainsi nuire à la capacité de gain et doit être retenu dans le cadre de l’assurance-invalidité (ATF 124 V 265 consid. 3c ; arrêts 9C_618/2014 du 9 janvier 2015 consid. 5.2 à 5.4 et 9C_334/2015 du 2 février 2016 consid. 4.2.2 relatifs à l’ancienne pratique). En l’espèce,</w:t>
      </w:r>
    </w:p>
    <w:p>
      <w:r>
        <w:t>- 12 - il ressort des pièces médicales que l’alcoolisme primaire a provoqué une cirrhose d’un stade avancé (CHILD B) qui, à son tour, a entraîné des troubles neurologiques (encéphalopathie hépatique). Cet alcoolisme chronique a également entraîné un état général très péjoré, dont ont résulté des lipothymies orthostatiques, une perte pondérale et une hypotension. Un important suivi a dès lors dû être mis en place, avec un traitement conséquent et plusieurs hospitalisations, jusqu’au décès de la recourante. Dans cette mesure, et au vu de l’ensemble des troubles qu’elle présentait, il doit être retenu, au degré de la vraisemblance prépondérante applicable en assurance sociale (ATF 129 V 177 consid. 3.1), que les ressources dont elle disposait encore n’étaient manifestement pas suffisantes pour lui permettre de reprendre une activité professionnelle à temps plein. Au demeurant, il convient encore de relever que les avis exprimés par le SMR dans ses rapports finaux sont nettement insuffisants face aux pièces médicales contenues dans le dossier. En présence d’avis contradictoires, il appartenait pourtant au médecin du SMR d’étayer son point de vue avec des explications circonstanciées et convaincantes afin de justifier dans quelle mesure la capacité de travail de 50% retenue par les médecins traitants ne pouvait pas être suivie. La Dresse C _________, n’étant pas neurologue, ne pouvait par ailleurs pas se limiter à écarter une évaluation neuropsychologique sans aucune motivation, ce d’autant plus qu’elle a admis que l’encéphalopathie hépatique justifiait une prise en charge spécialisée. La présence de ce diagnostic démontrait pourtant bien la forte influence de la problématique alcoolique et des troubles incapacitants qui en découlaient. Son avis du 26 février 2019 est d’autant moins soutenable, dans la mesure où elle l’a fondé sur une capacité de travail de 80% dans une activité légère qu’aurait retenue le Dr A _________. Or, la lecture du rapport manuscrit de ce dernier ne révèle aucunement un tel taux, mais au contraire un taux de 50% (pièce OAI 16 : le point 3.1 semble mentionner un taux de 80%, mais de 50% en réalité à la lecture du dossier et qu’au surplus ce pourcentage est en lien avec l’activité actuelle de la recourante et non avec l’appréciation du médecin sur la capacité de travail de celle-ci). Ses rapports finaux, insuffisamment motivés, peu concluants et parfois même contradictoires, ne revêtent ainsi qu’une valeur probante très limitée, insuffisante en tout état de cause pour fonder un refus de prestations. Partant, l’instruction de ce dossier est insuffisante et ne peut à ce jour, en raison du décès de l’assurée, pas être complétée. Il convient dès lors de retenir les avis des Dr A _________ et F _________, certes médecins traitants, mais qui ont rendu au contraire des conclusions motivées, en pleine connaissance de l’anamnèse de la</w:t>
      </w:r>
    </w:p>
    <w:p>
      <w:r>
        <w:t>- 13 - recourante et après avoir effectué une étude circonstanciée du cas, lesquels emportent ainsi la conviction de la Cour.</w:t>
      </w:r>
    </w:p>
    <w:p>
      <w:r>
        <w:rPr>
          <w:b/>
        </w:rPr>
        <w:t>E. 3.2</w:t>
      </w:r>
    </w:p>
    <w:p>
      <w:r>
        <w:t>Eu égard à ce qui précède, l’intimé aurait dû reconnaître que la recourante présentait une incapacité de travail de 50% dans toute activité, puisqu’elle présentait une atteinte à sa santé (cirrhose, alcoolisme et encéphalopathie hépatique), du point de vue de la vraisemblance prépondérante, depuis une période antérieure à son hospitalisation d’avril 2018. Cela étant, un éventuel droit à une rente d’invalidité ne pourra lui être octroyé qu’à l’échéance d’une période de six mois depuis le dépôt de sa demande (art. 29 al. 1 LAI), soit dès le 8 mai 2019. A cette date, la recourante présentait une incapacité de travail d’au moins 40% en moyenne durant une année sans interruption notable (art. 28 al. 1 let. b LAI) nécessaire pour lui ouvrir le droit à une rente d’invalidité. La décision doit par conséquence être annulée et le dossier renvoyé à l’OAI pour nouvelle décision et, cas échéant après examen de la perte de gain subie, fixation de la rente due à feu X _________, respectivement à ses héritiers, soit ses parents Z _________ et Y _________ (cf. certificat d’héritier du 10 septembre 2021), dès le 1er mai 2019 (art. 29 al. 3 LAI) sur la base d’une incapacité de travail de 50% et pour autant que le taux d’invalidité ainsi déterminé excède 40% après comparaison des revenus.</w:t>
      </w:r>
    </w:p>
    <w:p>
      <w:r>
        <w:rPr>
          <w:b/>
        </w:rPr>
        <w:t>E. 4</w:t>
      </w:r>
    </w:p>
    <w:p>
      <w:r>
        <w:t>La procédure de recours en matière de contestations portant sur l'octroi ou le refus de prestations de l'assurance-invalidité devant le tribunal cantonal des assurances est soumise à des frais judiciaires (art. 61 let. a aLPGA, art. 83 LPGA et art. 69 al. 1bis LAI).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l'issue de la cause, feu X _________ a obtenu gain de cause. Les frais de procédure arrêtés au regard des principes de la couverture des frais et de l’équivalence des prestations à 500 fr. sont mis à la charge de l'OAI (art. 69 al. 1bis LAI), l'avance d'un montant équivalent versée par la recourante lui étant restituée, respectivement à ses héritiers, par le Tribunal.</w:t>
      </w:r>
    </w:p>
    <w:p>
      <w:r>
        <w:t>- 14 -</w:t>
      </w:r>
    </w:p>
    <w:p>
      <w:r>
        <w:rPr>
          <w:b/>
        </w:rPr>
        <w:t>E. 5</w:t>
      </w:r>
    </w:p>
    <w:p>
      <w:r>
        <w:t>La recourante, qui obtient gain de cause, a droit à des dépens, qui seront supportés par l’intimé (art. 81bis al. 2 et 91 al. 1 et 2 a contrario LPJA ; art. 27 al. 1 et 40 al. 1 LTar). Néanmoins, dans la mesure où la recourante n’était pas assistée d’un mandataire qualifié et que ni l’importance de la cause ni sa complexité n’ont rendu objectivement nécessaires des frais ou un volume de travail excédant ce qu’un particulier peut ordinairement prendre sur lui pour la défense de ses intérêts, il ne lui est pas alloué de dépens (ATF 127 V 205 consid. 4b ; Jean Métral, Loi sur la partie générale des assurances sociales, in : Commentaire romand, Bâle 2018, ch. 103 ad art. 61).</w:t>
      </w:r>
    </w:p>
    <w:p>
      <w:r>
        <w:t>Prononce</w:t>
      </w:r>
    </w:p>
    <w:p>
      <w:r>
        <w:t>1. Le recours est admis, la décision du 13 août 2019 annulée et le dossier renvoyé à l’Office cantonal AI du Valais pour nouvelle décision dans le sens du considérant 3. 2. Il n’est pas alloué de dépens. 3. Les frais, par 500 francs, sont mis à la charge de l’Office cantonal AI du Valais.</w:t>
      </w:r>
    </w:p>
    <w:p>
      <w:r>
        <w:t>Sion, le 23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